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620"/>
        </w:tabs>
        <w:spacing w:after="156" w:afterLines="5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机 构 基 本 情 况</w:t>
      </w:r>
    </w:p>
    <w:tbl>
      <w:tblPr>
        <w:tblStyle w:val="7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4179"/>
        <w:gridCol w:w="1479"/>
        <w:gridCol w:w="2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机构名称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</w:rPr>
              <w:t>广州城市建设咨询有限公司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成立日期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1985年6月4日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机构住所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</w:rPr>
              <w:t>广州市越秀区建设大马路10号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隶属地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</w:rPr>
              <w:t>广州市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单位类型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</w:rPr>
              <w:t>国有独资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统一社会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信用代码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</w:rPr>
              <w:t>91440101190437536N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主管部门或举办单位、联营人、股东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spacing w:after="156" w:afterLines="50"/>
              <w:rPr>
                <w:rFonts w:hint="eastAsia"/>
              </w:rPr>
            </w:pPr>
            <w:r>
              <w:rPr>
                <w:rFonts w:hint="eastAsia"/>
              </w:rPr>
              <w:t>主管部门（举办单位）：广州市规划和自然资源局</w:t>
            </w:r>
          </w:p>
          <w:p>
            <w:r>
              <w:rPr>
                <w:rFonts w:hint="eastAsia"/>
              </w:rPr>
              <w:t>联营人（股东）：广州市人民政府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7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业务范围或经营范围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tabs>
                <w:tab w:val="left" w:pos="6556"/>
              </w:tabs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</w:rPr>
              <w:t xml:space="preserve">工程管理服务;规划设计管理;专业设计服务;信息咨询服务（不含许可类信息咨询服务）;建设工程设计;建设工程勘察;各类工程建设活动 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机构人员数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t>54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/>
              </w:rPr>
              <w:t>审查人员数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t>18-10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法定代表人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许云飞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eastAsia="zh-CN"/>
              </w:rPr>
              <w:t>行政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负责人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</w:rPr>
              <w:t>许云飞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技术负责人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吴蔚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工作联系人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</w:rPr>
              <w:t>吴卫华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通信地址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</w:rPr>
              <w:t>广州市建设大马路10号十五楼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</w:rPr>
              <w:t>510060</w:t>
            </w:r>
          </w:p>
        </w:tc>
      </w:tr>
    </w:tbl>
    <w:p>
      <w:pPr>
        <w:pStyle w:val="6"/>
        <w:jc w:val="center"/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广州城市建设咨询有限公司</w:t>
      </w: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t>审查人员情况</w:t>
      </w:r>
    </w:p>
    <w:tbl>
      <w:tblPr>
        <w:tblStyle w:val="7"/>
        <w:tblW w:w="1419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1"/>
        <w:gridCol w:w="740"/>
        <w:gridCol w:w="741"/>
        <w:gridCol w:w="740"/>
        <w:gridCol w:w="741"/>
        <w:gridCol w:w="740"/>
        <w:gridCol w:w="741"/>
        <w:gridCol w:w="740"/>
        <w:gridCol w:w="758"/>
        <w:gridCol w:w="740"/>
        <w:gridCol w:w="741"/>
        <w:gridCol w:w="740"/>
        <w:gridCol w:w="741"/>
        <w:gridCol w:w="740"/>
        <w:gridCol w:w="741"/>
        <w:gridCol w:w="740"/>
        <w:gridCol w:w="741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专业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建筑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结构（cx）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给水排水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暖通空调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电气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动力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自控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机械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通信信号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站场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道路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线路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桥梁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园林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环保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勘察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人数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-2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7-4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-2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-1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-1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-1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-1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18-10</w:t>
            </w:r>
          </w:p>
        </w:tc>
      </w:tr>
    </w:tbl>
    <w:tbl>
      <w:tblPr>
        <w:tblStyle w:val="7"/>
        <w:tblpPr w:leftFromText="180" w:rightFromText="180" w:vertAnchor="text" w:horzAnchor="page" w:tblpXSpec="center" w:tblpY="781"/>
        <w:tblOverlap w:val="never"/>
        <w:tblW w:w="13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1203"/>
        <w:gridCol w:w="1442"/>
        <w:gridCol w:w="1027"/>
        <w:gridCol w:w="1108"/>
        <w:gridCol w:w="2007"/>
        <w:gridCol w:w="2146"/>
        <w:gridCol w:w="1486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岗位性质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 名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性别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年龄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（岁）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执业注册类别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技术职称</w:t>
            </w:r>
          </w:p>
        </w:tc>
        <w:tc>
          <w:tcPr>
            <w:tcW w:w="1486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设计工龄</w:t>
            </w:r>
          </w:p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(年)</w:t>
            </w:r>
          </w:p>
        </w:tc>
        <w:tc>
          <w:tcPr>
            <w:tcW w:w="1534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设计业绩</w:t>
            </w:r>
          </w:p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(项)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潘忠诚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建筑设计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高级工程师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（教授级）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刘 瑛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建筑设计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吴 蔚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吴卫华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建筑结构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何宪朝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建筑结构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朱昌宏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建筑结构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彭莉娟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结构设计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梁 毅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工民建专业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刘少清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工民建设计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余红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建筑结构设计工程师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电气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吉 彤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注册电气工程师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（供配电）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建筑电气设计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电气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姜荣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注册电气工程师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（供配电）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电气高级工程师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周剑锋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注册公用设备工程师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（给水排水）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给水排水设计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陈银标</w:t>
            </w:r>
          </w:p>
        </w:tc>
        <w:tc>
          <w:tcPr>
            <w:tcW w:w="102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注册公用设备工程师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给排水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暖通空调</w:t>
            </w:r>
          </w:p>
        </w:tc>
        <w:tc>
          <w:tcPr>
            <w:tcW w:w="120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崔涛</w:t>
            </w:r>
          </w:p>
        </w:tc>
        <w:tc>
          <w:tcPr>
            <w:tcW w:w="102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注册公用设备工程师（暖通空调）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暖通空调设计高级工程师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暖通空调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林喜荣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注册公用设备工程师（暖通空调）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李焕新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注册土木工程师（岩土）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水文地质及工程地质高级工程师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刘大海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注册土木工程师（岩土）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岩土工程高级工程师（教授级）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</w:tr>
    </w:tbl>
    <w:p>
      <w:pPr>
        <w:spacing w:after="468" w:afterLines="150"/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/>
          <w:sz w:val="18"/>
          <w:szCs w:val="18"/>
        </w:rPr>
        <w:t>注：1.人数填写为：总人数－60周岁以下人数；3.“结构（cx）”人数为结构专业超限高层审查人数；3.“合计”人数不计“结构（cx）”人数</w:t>
      </w: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广州城市建设咨询有限公司</w:t>
      </w:r>
      <w:r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  <w:t>审查人员业绩</w:t>
      </w:r>
    </w:p>
    <w:tbl>
      <w:tblPr>
        <w:tblStyle w:val="7"/>
        <w:tblW w:w="1388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257"/>
        <w:gridCol w:w="3994"/>
        <w:gridCol w:w="1050"/>
        <w:gridCol w:w="65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姓 名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完成年月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  目  名  称（至少5项）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项目规模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对应规模的项目特征描述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潘忠诚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2008.09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南沙水务大厦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大型公共建筑，总建筑面积约6万平方米，地下2层，地上18层，高度75m。广东省2013年度优秀工程勘察设计二等奖。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2008.11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广交会琶洲展馆配套设施项目（会展三期）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大型公共建筑，总建筑面积约26万平方米，地上4层，地下2层, 获广州市2010年度优秀工程勘察设计一等奖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2011.08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科学城威创创新园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大型公共建筑，总建筑面积约14万平方米，地下2层，地上15层，高度70m。广州市2014年度优秀工程勘察设计一等奖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2011.11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中山大学附属第六医院医疗综合大楼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大型公共建筑，综合三级甲等医院，建筑面积约13万平方米，地下4层，地上25层，高度100m。获广州市2014年度优秀工程勘察设计二等奖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2013.12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广州市中级人民法院迁建审判业务大楼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大型公共建筑，总建筑面积约8.3万平方米，地下2层，地上9层，高度60m。获广州市2018年度优秀工程勘察设计一等奖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 瑛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2000.06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金碧花园五期项目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大型居住建筑30层10万平方米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2002.08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金碧华府项目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大型居住建筑26层12万平方米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2004.12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金碧花园六/七期项目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大型居住建筑32层10万平方米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2006.1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广州地铁五号线猎德站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大型公共地下建筑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大型公共地下建筑：地下两层，1.1万平方米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2010.4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广州地铁三号线北延段同和站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大型公共地下建筑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大型公共地下建筑：地下两层，1.3万平方米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 蔚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 年 5 月--12 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南沙 2017NJY-5 地块一期住宅工程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大型居住建筑，22~32层， 208000 平方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 年 2 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十里方圆“龙玺”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大型居住建筑， 22层，50000平方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 年 4 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方圆鹤山月岛首府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大型居住建筑，28~32 层198000平方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 年 7 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方圆怀集滨江一号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大型居住建筑，16~32 层，161000平方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 年 6 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云山诗意花园住宅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大型居住建筑，24 层，9439平方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2017年1月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流花湖项目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大型居住建筑，15~26层，35551平方本项目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2018年7月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增城云山诗意云玺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大型居住建筑，31 层，74238平方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吴卫华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1994.06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顺德龙峰山庄商业城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大型公共建筑工程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大型公共建筑工程，7层45000平方米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1996.08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兴达大厦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大型住宅建筑工程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大型住宅建筑工程，22层25000平方米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2001.07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广州金碧花园D1~D5栋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大型住宅建筑工程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大型住宅建筑工程，33层57000平方米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2002.05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广州军区第五批老干部住宅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大型住宅建筑工程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大型住宅建筑工程，26层25000平方米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2004.04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广州军区装备部经济适用房  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大型住宅建筑工程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大型住宅建筑工程，29层35000平方米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2009.07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圻润广场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大型商住建筑工程，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大型商住建筑工程，29层135000平方米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何宪朝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1996.09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广州小北路北秀花园商住楼（2期）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大型公共建筑：建筑面积26000平方米，地面27层，地下2层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1997.12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广州广仁路广仁商业大厦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大型公共建筑：建筑面积29000平方米，地面30层，地下4层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1998.01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广州天河永利广场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大型公共建筑：总建筑面积90000平方米，地面东塔楼38层，西塔楼30层，地下3层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2009.08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广州地铁黄沙车站商住项目逸翠湾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超限高层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大型居住建筑：特级工程，8栋27-50层商住楼，超限复杂高层，最高168米，建筑面积共41.4万平方米【超限高层】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2008.8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南沙政法机关业务综合用房工程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大型公共建筑：建筑面积8.67万平方米，法院、公安110指挥中心，检察院活动中心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朱昌宏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1999.1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中海锦苑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大型居住建筑，33层，60000平方米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2009.5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广交会琶洲展馆配套设施项目——综合楼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大型公共建筑，【属于100米以上建筑】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大型公共建筑，41层，建筑高度175.54米，92000平方米。【属于100米以上建筑】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2010.2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中国移动南方基地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大型公共建筑，160000平方米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2010.9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广州亚运城运动员村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大型住宅小区建筑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大型住宅小区建筑，580000平方米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2013.3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中山六院医疗综合大楼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大型公共建筑，90000平方米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彭莉娟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2004.06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广州市科盛隆机械包装有限公司厂房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大型厂房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大型厂房，2x30.8m双跨排架，15t吊车，技术要求复杂。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2006.08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清华坊综合楼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大型地下室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大型地下室，面积10256平方米，核6级人防地下室。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2007.09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永固工业厂区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大型工业厂区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大型工业厂区。跨度12.8米，6层。设备、管线等技术要求复杂。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2008.04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湖南省娄底市上和小区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大型住宅区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大型住宅区，21～33层。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2014.11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东润豪苑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大型商住小区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大型商住小区，21层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 毅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2003.06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广州军区后方仓库一期工程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大型公共建筑，20.35万平方米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2007.1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广州军区武汉总医院门诊综合楼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大型公共建筑，9.63万平方米，20层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2008.03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广州军区76161工程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大型公共建筑，5.37万平方米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2008.1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广州军区6544工程首期项目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大型公共建筑，3.77万平方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2009.06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广州军区航务指挥中心工程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大型公共建筑，2.28万平方米，20层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2009.12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广州军区091-1一期工程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大型公共建筑，3.06万平方米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刘少清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2002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合肥CBD中央广场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大型公共建筑（城市综合体）：30层，133473平方米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2004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合肥花样年华公寓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大型居住建筑：24层，高99.6米，23560平方米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2004至2005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北京沙河高教园区住宅一期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大型居住建筑：489800平方米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2007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合肥信达好第坊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大型居住建筑：26层，69400平方米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2006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合肥信达东流路办公楼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大型公共建筑：21层，高89.4米，约14552平方米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余红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2012年8月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从化市保障性住房项目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超限高层，大型住宅项目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大型住宅建筑工程，多幢高层，总建筑面积约5.4万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，地上26层，地下2层，建筑高度82.5米。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2012年5月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国家太阳能光伏产品质量监督检验中心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大型公共建筑工程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大型公共建筑工程，项目由培训楼、光伏楼及办公楼组成，总建筑面积3.4万平方米。其中培训楼地上16层，地下2层，建筑高度为59.6米，单体建筑面积为约2.3万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；光伏楼为地下1层为机动车库及人防工程，地上8层国家级光伏实验室，建筑物高度为37.3米，单体建筑面积为约1.0万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2013年5月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柳州儿童医院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大型公共建筑工程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项目多栋高层建筑组成，总建筑面积约11.5万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。其中，门急诊综合大楼地下2层、地上5层，单体建筑面积约为6.8万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，建筑高度23.55米；住院医技综合楼地下2层、地上15层，单体建筑面积约为2.4万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，建筑高度62.55米。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2015年6月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肇庆新型片式电子元器件产业基地建设技术改造项目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大型住宅建筑工程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大型住宅建筑工程，多幢高层及厂房主车间、研发楼等组成，总建筑面积15.1万平方米。其中3#、4#宿舍楼地下1层，地上22层，单体建筑面积均为1.66万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，建筑高度68.9米。1-2#宿舍楼地上15层，单体建筑面积2.45万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，建筑高度49.55米；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2017年9月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广州华南商贸职业学院钟落潭校区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大型公共建筑工程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多栋多层及高层组成，建筑面积约15.7万平方米。其中，主教学楼地上6层，单体建筑面积约2.3万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，建筑高度21.5米；1-2#学生宿舍地下1层，地上16层，单体建筑面积约4.95万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，建筑高度57.9米。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2016年8月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从化看守所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大型公共建筑工程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多栋多层，总建筑面积2.3万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。主体监区为地上1层，单体建筑面积约2.0万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，建筑高度7.3米。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吉 彤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仙雅花园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大型高层住宅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大型高层住宅，34层，约9万平方米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广州汇美景台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大型全复式高层住宅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大型全复式高层住宅小区，34层，5.5万平方米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深圳市豪鹏科技有限公司惠州工业园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大型办公、生产、居住建筑工业园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办公、生产、宿舍建筑工业园约12万平方米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2009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普宁市人民医院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住院楼、医技楼合计约2.48万平方米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2010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广东省东莞市黄江人民医院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院楼、医技楼二甲医疗建筑，约7万平方米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姜荣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2016年6月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龙岗区南联小学段旧村改造项目二期01-06地块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大型住宅项目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大型住宅项目 32层  总面积18.8万平方米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2014年9月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腾冲东方金钰大酒店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大型公共项目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12层，单体面积3.6万平方米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2014年3月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湖南长沙 中建 江山壹号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大型住宅项目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3-31层，总面积14.7万平方米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2019年11 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广东东莞 御城花园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大型住宅项目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3-33层，总面积 40万平方米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2015年11 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远洋新天地家园（盛平第二工业区城市更新单元一期05~06地块）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大型住宅项目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1栋19层、2栋40层，总面积8.6万平方米，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2015年 11月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江西省泰和县泰鑫台湾文化公园A2-02地块住宅区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大型住宅项目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1~26层，总面积 16.8万平方米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周剑锋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2011.01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"http://jzsc.mohurd.gov.cn/data/project/detail?id=1348841" \o "http://jzsc.mohurd.gov.cn/data/project/detail?id=1348841" </w:instrTex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9"/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  <w:t>君兰一期二、三区（江山花园（13~15座楼及地下室）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功能：住宅建筑，31层，99m，19万平方米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2011.09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"http://jzsc.mohurd.gov.cn/data/project/detail?id=1535695" \o "http://jzsc.mohurd.gov.cn/data/project/detail?id=1535695" </w:instrTex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9"/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  <w:t>中天十里花川项目G、I、J区 G4地块(渔安安井温泉旅游城“未来方舟”G4组团）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功能：住宅建筑，30层，高99m，13.9万平方米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2012.08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"http://jzsc.mohurd.gov.cn/data/project/detail?id=1535695" \o "http://jzsc.mohurd.gov.cn/data/project/detail?id=1535695" </w:instrTex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9"/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  <w:t>中天十里花川项目G、I、J区 G6、G8地块(渔安安井温泉旅游城“未来方舟”G6,、G8组团）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功能：住宅建筑，G6地块：30层，高99m，21.5万平方米,G6地块：31层，高95.4m</w:t>
            </w:r>
            <w:r>
              <w:rPr>
                <w:rFonts w:hint="eastAsia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2013.1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贵阳市安井片公租房项目i2(白岩脚公租房项目)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功能：住宅建筑，42层，高118.4m，40.5万平方米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2013.09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贵阳市安井片公租房项目 南组团 (白岩脚公租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房项目)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功能：住宅建筑，32~38层，最高110m， 18万平方米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2014.07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广州地铁坑口项目（广州市地下铁路总公司坑口项目）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功能：公共建筑（商业综合体） 33层 ，高148.8m，18万平方米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2014.07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茂名金源城项目（一~四区工程）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功能：住宅建筑31~38层，高120m，43.3万平方米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2015.08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合肥W1301地块项目（天玥中心）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功能：公共建筑（商业综合体）30层， 14.6万平方米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2014.08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合肥政务新区ZWQTD-006、007地块（天珑广场）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功能：公共建筑（商业综合体）高140.3m， 41.8万平方米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2015.02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广州城市职业学院迁建工程(广州职业技术院校迁建项目 第5标段)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功能：公共建筑高43.8m， 42.9万平方米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2016.09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合肥滨湖金融创新城项目（合肥星泓金融创新城A、B地块）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功能：住宅建筑 32层，32万平方米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2016.09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胜坚紫悦项目A地块（江门市）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功能：住宅建筑20~30层，11.06万平方米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陈银标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1988.07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上海30万吨乙烯吴泾工程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大型公共建筑，建筑面积11.8万平方米，投资额 17亿元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1997.01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上海氯碱化工股份有限公司10万吨/年离子膜烧碱工程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大型公共建筑，建筑面积3.1万平方米，投资额 3.5亿元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1993.01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浙江善高化学有限公司7万吨/年离子膜烧碱工程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大型公共建筑，建筑面积2.3万平方米，投资额 2.2亿元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1998.12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江苏梅兰集团电化厂8万吨/年隔膜碱工程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大型公共建筑，建筑面积2.5万平方米，投资额 1.1亿元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2002.05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上海天原集团有限公司7万吨/年PVC专用树脂工程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大型公共建筑，建筑面积2.3万平方米，投资额 6.3亿元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崔涛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2020.9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广州财富天地改造项目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大型公共建筑，建筑面积26万平方米，7层，中央空调系统，既有项目改造项目。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2018.8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天河商旅12-1.5项目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大型公共建筑，建筑面积22.8万平方米，地上51层超高层综合体，中央空调系统，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2013.4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武汉越秀金三角项目6号办公楼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大型公共建筑，总建筑面积14.0万平方米，高309m， 68层超高层甲级写字楼办公楼，中央空调系统。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2014.8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武汉越秀金三角项目A地块商业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大型公共建筑，总建筑面积3.4万平方米，高23.85m，5层，中央空调系统。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2014.1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武汉硚口金三角项目B地块8#、9#、10#楼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大型住宅项目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大型住宅项目，建筑面积18.7万平方米。52层，地板辐射供暖设计项目。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林喜荣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1994.08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海珠广场花园一期工程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大型居住建筑，建筑面积79000平方米，地面31层，地下2层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1994.05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广州明珠花园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大型居住建筑，建筑面积54000平方米，地面28层，地下2层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1996.1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驻港部队976-1工程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大型公共建筑，建筑面积128443平方米，地面21层，地下2层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2004.04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811战备工程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大型地下工程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大型地下工程（洞库），建筑面积45232平方米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2001.04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商检大楼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大型公共建筑，建筑面积106016平方米，地面22层，地下2层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李焕新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2017.7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广州国际创新城曾边村安置房工程详勘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大型住宅建筑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属大型住宅小区建筑，总用地面积为112843.7平方米，总建筑面积为433510平方米，设置19栋住宅，综合楼、配套公建、村活动中心、地下车库等。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2003.6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广州南沙开发区凤凰大道详勘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大型市政道路工程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属大型市政道路工程，为城市主干道，线路设计范围为K0+400～K6+270.72，其中K2+804.866=K2+751.455为断链，总长5924.131m。道路宽度40～60m。全线设有k2+900中桥（3×20m跨）和k5+595大桥（7×20m跨），设全互通立交1座（凤凰大道与市南路），半互通立交1座（凤凰大道与京珠大道南），分离立交3座（凤凰大道与滨水大道、进港大道和东部快速干线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2005.3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广州市科韵北路（中山黄埔立交段）详勘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大型市政道路工程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属大型市政道路工程，为一条南北走向城市快速干道，中山黄埔立交段里程K4+400～K6+300，长约1.9km，设3座立交（含花城大道简易立交），主要工程内容有中山大道互通立交主线及C、G、J匝道下沉式道路；黄埔大道互通立交主线及A、B、C、D、E匝道下沉式道路；黄埔大道互通立交E匝道跨线桥；花城大道下沉式道路；地下人行通道；雨水管地基详细勘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2014.12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广州市南沙区桂阁大道（广珠东线至黄阁北路段）（K0+000至K3+700段）初勘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大型市政道路工程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属大型市政道路工程，为城市主干道，沿线主要穿过蕉门水道、高沙河（西沥）水道，路线总长约3.906km，标准路宽60米，设计车速60km/h，沿线共布设跨河、跨渠、跨线等大桥1611.12m/2座，天桥3座，涵洞4道。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2017.2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鱼窝头大道（南沙大道至东部快线北延长线段）工程一期详勘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大型市政道路工程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属大型市政道路工程，为城市主干道，道路里程（K0+000~K1+260），红线标准宽60m，设计车速为60km/h，双向8车道。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2003.1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广州市科韵路南延长线详勘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大型市政道路工程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属大型市政道路工程，线路里程范围为K0+200～K3+000，长2800m，设跨线桥2座（南环跨线桥、新滘南路主线跨线桥）、互通式立交2座（新滘南路与科韵路南延长线、仑头互通立交）。为城市主干路，设有大桥，市政工程重要性等级为一级，岩土工程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刘大海</w:t>
            </w: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2011.1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2009年度西乡保障性住房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大型居住建筑，用地面积约8109.13平方米，A栋26层，B栋33层，一层地下室，钻孔数45，重要等级为一级，地基等级为一级，勘察等级为甲级。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2014.01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深圳大学西丽校区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大型公共建筑，用地面积约138万平方米，钻孔数725，勘察等级为甲级。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2014.05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石岩（福田）保障性住房项目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大型居住建筑，本期勘察为一地块，总建筑面积为216236平方米，含住宅，商业及公共配套设施，26-50层，属一类高层建筑，2层地下室，钻孔数79，勘察等级为甲级。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2016.07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正奇未来科创城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占地面积约83000平方米，14栋，6-59层建筑及2-4层的裙楼组成，10栋33-59层超高层建筑采用框筒结构，4栋6-11层采用框架剪力墙结构，全场地设置3层地下室，开挖深度为14米，钻孔数238，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2016.09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天健工业园片区更新单元（一期）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大型公共建筑，用地面积约68239.6平方米，分8个地块，本次勘察范围包括01-01，01-02，01-05，01-06地块，由8栋32-46层超高层，2层高层保障性住房，3F幼儿园及5F学校组成，钻孔数219，勘察等级为甲级。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2016.1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深圳市五联股份合作公司非农建设用地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大型公共建筑，占地面积31368.17平方米，总建筑面积13.3万平方米，拟建8栋32层高层住宅楼及配套多层建筑，设地下室一层，钻孔数73，勘察等级为甲级。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2016.11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天健智慧园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大型居住建筑，总用地面积约31521.4平方米，总建筑面积约为96974平方米，由多栋30F住宅楼及多层商业裙楼组成，有地下室，钻孔数72，勘察等级为甲级。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2016.12</w:t>
            </w:r>
          </w:p>
        </w:tc>
        <w:tc>
          <w:tcPr>
            <w:tcW w:w="3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富润乐庭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大型居住建筑，占地面积约23000平方米，有7栋28-32层建筑，设计2层地下室，钻孔数70，勘察等级为甲级。</w:t>
            </w:r>
          </w:p>
        </w:tc>
      </w:tr>
    </w:tbl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4"/>
        <w:rPr>
          <w:rFonts w:hint="eastAsia"/>
          <w:lang w:eastAsia="zh-CN"/>
        </w:rPr>
      </w:pPr>
    </w:p>
    <w:p>
      <w:pPr>
        <w:pStyle w:val="4"/>
        <w:ind w:left="0" w:leftChars="0" w:firstLine="0" w:firstLineChars="0"/>
        <w:rPr>
          <w:rFonts w:hint="eastAsia"/>
          <w:lang w:eastAsia="zh-CN"/>
        </w:rPr>
      </w:pPr>
    </w:p>
    <w:p>
      <w:pPr>
        <w:pStyle w:val="4"/>
        <w:ind w:left="0" w:leftChars="0" w:firstLine="0" w:firstLineChars="0"/>
        <w:rPr>
          <w:rFonts w:hint="eastAsia"/>
          <w:lang w:eastAsia="zh-CN"/>
        </w:rPr>
      </w:pPr>
    </w:p>
    <w:p>
      <w:pPr>
        <w:pStyle w:val="4"/>
        <w:ind w:left="0" w:leftChars="0" w:firstLine="0" w:firstLineChars="0"/>
        <w:rPr>
          <w:rFonts w:hint="eastAsia"/>
          <w:lang w:eastAsia="zh-CN"/>
        </w:rPr>
      </w:pPr>
    </w:p>
    <w:p/>
    <w:sectPr>
      <w:pgSz w:w="16838" w:h="11906" w:orient="landscape"/>
      <w:pgMar w:top="1587" w:right="1644" w:bottom="1474" w:left="1417" w:header="851" w:footer="158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xNjY1YWU0Y2M4ZDU0NmZmMGY0ZDRhZTU4ZmUyNmEifQ=="/>
  </w:docVars>
  <w:rsids>
    <w:rsidRoot w:val="00172A27"/>
    <w:rsid w:val="179B4785"/>
    <w:rsid w:val="1F7B4C13"/>
    <w:rsid w:val="24EFDE34"/>
    <w:rsid w:val="25D350AF"/>
    <w:rsid w:val="2B7D2105"/>
    <w:rsid w:val="34FF7656"/>
    <w:rsid w:val="366FC8B3"/>
    <w:rsid w:val="377D8AFC"/>
    <w:rsid w:val="3CFF0F46"/>
    <w:rsid w:val="3D5E2181"/>
    <w:rsid w:val="3E7D0BE4"/>
    <w:rsid w:val="3F761FA8"/>
    <w:rsid w:val="3FF665A2"/>
    <w:rsid w:val="46FB4C62"/>
    <w:rsid w:val="47FE26E2"/>
    <w:rsid w:val="4AE88697"/>
    <w:rsid w:val="4FFDEBAA"/>
    <w:rsid w:val="50EF6C70"/>
    <w:rsid w:val="57ADD760"/>
    <w:rsid w:val="57FF9E52"/>
    <w:rsid w:val="5EF3EB67"/>
    <w:rsid w:val="6BC66FC8"/>
    <w:rsid w:val="6D9B6B39"/>
    <w:rsid w:val="6DEFAD54"/>
    <w:rsid w:val="73F72F2E"/>
    <w:rsid w:val="77FD8B76"/>
    <w:rsid w:val="7A7DC2F9"/>
    <w:rsid w:val="7AFFAABE"/>
    <w:rsid w:val="7B774BDD"/>
    <w:rsid w:val="7BBE52D5"/>
    <w:rsid w:val="7C7E0CBD"/>
    <w:rsid w:val="7EB3C83A"/>
    <w:rsid w:val="7EC22082"/>
    <w:rsid w:val="7EFEEB6E"/>
    <w:rsid w:val="7F3FAFC0"/>
    <w:rsid w:val="7F4EF6BB"/>
    <w:rsid w:val="7F94E6B3"/>
    <w:rsid w:val="7FF9D71C"/>
    <w:rsid w:val="7FFCC4DD"/>
    <w:rsid w:val="7FFE2B08"/>
    <w:rsid w:val="95FE3B25"/>
    <w:rsid w:val="97C720B5"/>
    <w:rsid w:val="9B7E0F18"/>
    <w:rsid w:val="AFFEAC83"/>
    <w:rsid w:val="B66981BE"/>
    <w:rsid w:val="BAB58B83"/>
    <w:rsid w:val="BEEE8DD9"/>
    <w:rsid w:val="BF436645"/>
    <w:rsid w:val="BF7BC4D6"/>
    <w:rsid w:val="BF8BD469"/>
    <w:rsid w:val="BFE6F85B"/>
    <w:rsid w:val="BFFFA4B6"/>
    <w:rsid w:val="C7F73C78"/>
    <w:rsid w:val="CFFBB483"/>
    <w:rsid w:val="D3E33586"/>
    <w:rsid w:val="D6DFFFD7"/>
    <w:rsid w:val="D7BB65E2"/>
    <w:rsid w:val="DFF9391C"/>
    <w:rsid w:val="E7FFFB62"/>
    <w:rsid w:val="EF7F2238"/>
    <w:rsid w:val="EF8C9700"/>
    <w:rsid w:val="EFD3A5F7"/>
    <w:rsid w:val="EFFF195E"/>
    <w:rsid w:val="F1EFD238"/>
    <w:rsid w:val="F2FBCD9D"/>
    <w:rsid w:val="F3FFB688"/>
    <w:rsid w:val="F72FEE01"/>
    <w:rsid w:val="F7AED0DE"/>
    <w:rsid w:val="FA5C4B65"/>
    <w:rsid w:val="FAFFA2A2"/>
    <w:rsid w:val="FBFD4AEF"/>
    <w:rsid w:val="FCFFE9C4"/>
    <w:rsid w:val="FED3A4EF"/>
    <w:rsid w:val="FEFE83A4"/>
    <w:rsid w:val="FF7F4A1B"/>
    <w:rsid w:val="FF8F95A3"/>
    <w:rsid w:val="FFBE5A07"/>
    <w:rsid w:val="FFEBDC50"/>
    <w:rsid w:val="FFEC573D"/>
    <w:rsid w:val="FFECD6BA"/>
    <w:rsid w:val="FFFDE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宋体"/>
      <w:szCs w:val="21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</w:rPr>
  </w:style>
  <w:style w:type="paragraph" w:styleId="4">
    <w:name w:val="Body Text"/>
    <w:basedOn w:val="1"/>
    <w:next w:val="5"/>
    <w:qFormat/>
    <w:uiPriority w:val="0"/>
    <w:pPr>
      <w:ind w:firstLine="200" w:firstLineChars="200"/>
    </w:pPr>
  </w:style>
  <w:style w:type="paragraph" w:styleId="5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6">
    <w:name w:val="Balloon Text"/>
    <w:basedOn w:val="1"/>
    <w:semiHidden/>
    <w:qFormat/>
    <w:uiPriority w:val="99"/>
    <w:rPr>
      <w:sz w:val="18"/>
      <w:szCs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font4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2">
    <w:name w:val="font51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3">
    <w:name w:val="font3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1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perscript"/>
    </w:rPr>
  </w:style>
  <w:style w:type="character" w:customStyle="1" w:styleId="15">
    <w:name w:val="font81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">
    <w:name w:val="font7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01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perscript"/>
    </w:rPr>
  </w:style>
  <w:style w:type="character" w:customStyle="1" w:styleId="18">
    <w:name w:val="font61"/>
    <w:basedOn w:val="8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11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12"/>
    <w:basedOn w:val="8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  <w:vertAlign w:val="superscript"/>
    </w:rPr>
  </w:style>
  <w:style w:type="character" w:customStyle="1" w:styleId="21">
    <w:name w:val="font122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2023-09-26T08:17:00Z</dcterms:created>
  <dc:creator> 曾姿</dc:creator>
  <cp:lastModifiedBy>陌</cp:lastModifiedBy>
  <dcterms:modified xsi:type="dcterms:W3CDTF">2023-12-15T09:02:53Z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AFC256B86FDE475B9166B1193C8E9524_12</vt:lpwstr>
  </property>
</Properties>
</file>